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10" w:type="dxa"/>
        <w:tblInd w:w="-5" w:type="dxa"/>
        <w:tblCellMar>
          <w:left w:w="0" w:type="dxa"/>
          <w:right w:w="0" w:type="dxa"/>
        </w:tblCellMar>
        <w:tblLook w:val="04A0"/>
      </w:tblPr>
      <w:tblGrid>
        <w:gridCol w:w="2632"/>
        <w:gridCol w:w="10478"/>
      </w:tblGrid>
      <w:tr w:rsidR="00172495" w:rsidTr="00172495">
        <w:tc>
          <w:tcPr>
            <w:tcW w:w="10490"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3F18" w:rsidRPr="00807D56" w:rsidRDefault="00F83F18" w:rsidP="00F83F18">
            <w:pPr>
              <w:jc w:val="center"/>
              <w:rPr>
                <w:b/>
                <w:sz w:val="28"/>
                <w:szCs w:val="28"/>
              </w:rPr>
            </w:pPr>
            <w:r w:rsidRPr="00807D56">
              <w:rPr>
                <w:b/>
                <w:sz w:val="28"/>
                <w:szCs w:val="28"/>
              </w:rPr>
              <w:t>Техническое задание</w:t>
            </w:r>
          </w:p>
          <w:p w:rsidR="00F83F18" w:rsidRPr="00F83F18" w:rsidRDefault="00F83F18" w:rsidP="00F83F18">
            <w:pPr>
              <w:tabs>
                <w:tab w:val="left" w:pos="5400"/>
              </w:tabs>
              <w:jc w:val="center"/>
              <w:rPr>
                <w:b/>
                <w:sz w:val="28"/>
                <w:szCs w:val="28"/>
              </w:rPr>
            </w:pPr>
            <w:r w:rsidRPr="00EB5560">
              <w:rPr>
                <w:b/>
                <w:sz w:val="28"/>
                <w:szCs w:val="28"/>
              </w:rPr>
              <w:t>на поставку</w:t>
            </w:r>
            <w:r w:rsidRPr="000822B7">
              <w:rPr>
                <w:sz w:val="28"/>
                <w:szCs w:val="28"/>
              </w:rPr>
              <w:t xml:space="preserve"> </w:t>
            </w:r>
            <w:r w:rsidRPr="00F83F18">
              <w:rPr>
                <w:b/>
                <w:sz w:val="28"/>
                <w:szCs w:val="28"/>
              </w:rPr>
              <w:t>мобильной системы перемещения инвалида-колясочника</w:t>
            </w:r>
          </w:p>
          <w:p w:rsidR="00F83F18" w:rsidRDefault="00F83F18" w:rsidP="00F83F18">
            <w:pPr>
              <w:jc w:val="center"/>
            </w:pPr>
          </w:p>
          <w:p w:rsidR="00F83F18" w:rsidRDefault="00F83F18" w:rsidP="00F83F18">
            <w:pPr>
              <w:jc w:val="both"/>
            </w:pPr>
            <w:r w:rsidRPr="00606448">
              <w:t>Качество поставляемого товара должно соответствовать государственным стандартам РФ, подтверждаться и сопровождаться сертификатами соответствия, качественными удостоверениями производителя и иными необходимыми документами, согласно действующему законодательству РФ. Объём гарантийного обслуживания – не менее стандартных обязатель</w:t>
            </w:r>
            <w:proofErr w:type="gramStart"/>
            <w:r w:rsidRPr="00606448">
              <w:t>ств пр</w:t>
            </w:r>
            <w:proofErr w:type="gramEnd"/>
            <w:r w:rsidRPr="00606448">
              <w:t>оизводителя. Срок предоставления гарантий качества на узлы, детали, механизмы, оборудование - не менее стандартных обязатель</w:t>
            </w:r>
            <w:proofErr w:type="gramStart"/>
            <w:r w:rsidRPr="00606448">
              <w:t>ств пр</w:t>
            </w:r>
            <w:proofErr w:type="gramEnd"/>
            <w:r w:rsidRPr="00606448">
              <w:t>оизводителя.</w:t>
            </w:r>
          </w:p>
          <w:p w:rsidR="00F83F18" w:rsidRDefault="00F83F18" w:rsidP="00F83F18">
            <w:pPr>
              <w:jc w:val="both"/>
            </w:pPr>
            <w:r>
              <w:t>Требования к товару:</w:t>
            </w:r>
          </w:p>
          <w:p w:rsidR="00F83F18" w:rsidRPr="00875DFE" w:rsidRDefault="00F83F18" w:rsidP="00F83F18">
            <w:pPr>
              <w:jc w:val="both"/>
              <w:rPr>
                <w:rFonts w:eastAsia="Arial Unicode MS"/>
                <w:color w:val="000000"/>
                <w:sz w:val="20"/>
                <w:szCs w:val="20"/>
              </w:rPr>
            </w:pPr>
            <w:r w:rsidRPr="00875DFE">
              <w:rPr>
                <w:rFonts w:eastAsia="Arial Unicode MS"/>
                <w:color w:val="000000"/>
                <w:sz w:val="20"/>
                <w:szCs w:val="20"/>
              </w:rPr>
              <w:t>- соответствие товара  спецификации;</w:t>
            </w:r>
          </w:p>
          <w:p w:rsidR="00F83F18" w:rsidRPr="00875DFE" w:rsidRDefault="00F83F18" w:rsidP="00F83F18">
            <w:pPr>
              <w:jc w:val="both"/>
              <w:rPr>
                <w:rFonts w:eastAsia="Arial Unicode MS"/>
                <w:color w:val="000000"/>
                <w:sz w:val="20"/>
                <w:szCs w:val="20"/>
              </w:rPr>
            </w:pPr>
            <w:r w:rsidRPr="00875DFE">
              <w:rPr>
                <w:rFonts w:eastAsia="Arial Unicode MS"/>
                <w:color w:val="000000"/>
                <w:sz w:val="20"/>
                <w:szCs w:val="20"/>
              </w:rPr>
              <w:t>- быть новыми, ранее не используемыми, в чистой неповрежденной упаковке</w:t>
            </w:r>
            <w:r>
              <w:rPr>
                <w:rFonts w:eastAsia="Arial Unicode MS"/>
                <w:color w:val="000000"/>
                <w:sz w:val="20"/>
                <w:szCs w:val="20"/>
              </w:rPr>
              <w:t>, 2014-2015 года выпуска</w:t>
            </w:r>
            <w:r w:rsidRPr="00875DFE">
              <w:rPr>
                <w:rFonts w:eastAsia="Arial Unicode MS"/>
                <w:color w:val="000000"/>
                <w:sz w:val="20"/>
                <w:szCs w:val="20"/>
              </w:rPr>
              <w:t>;</w:t>
            </w:r>
          </w:p>
          <w:p w:rsidR="00F83F18" w:rsidRPr="00875DFE" w:rsidRDefault="00F83F18" w:rsidP="00F83F18">
            <w:pPr>
              <w:jc w:val="both"/>
              <w:rPr>
                <w:rFonts w:eastAsia="Arial Unicode MS"/>
                <w:color w:val="000000"/>
                <w:sz w:val="20"/>
                <w:szCs w:val="20"/>
              </w:rPr>
            </w:pPr>
            <w:r w:rsidRPr="00875DFE">
              <w:rPr>
                <w:rFonts w:eastAsia="Arial Unicode MS"/>
                <w:color w:val="000000"/>
                <w:sz w:val="20"/>
                <w:szCs w:val="20"/>
              </w:rPr>
              <w:t>- наличие инструкции по эксплуатации;</w:t>
            </w:r>
          </w:p>
          <w:p w:rsidR="00F83F18" w:rsidRPr="00875DFE" w:rsidRDefault="00F83F18" w:rsidP="00F83F18">
            <w:pPr>
              <w:jc w:val="both"/>
              <w:rPr>
                <w:rFonts w:eastAsia="Arial Unicode MS"/>
                <w:color w:val="000000"/>
                <w:sz w:val="20"/>
                <w:szCs w:val="20"/>
              </w:rPr>
            </w:pPr>
            <w:r w:rsidRPr="00875DFE">
              <w:rPr>
                <w:rFonts w:eastAsia="Arial Unicode MS"/>
                <w:color w:val="000000"/>
                <w:sz w:val="20"/>
                <w:szCs w:val="20"/>
              </w:rPr>
              <w:t>- наличие сертификата о качестве товара;</w:t>
            </w:r>
          </w:p>
          <w:p w:rsidR="00F83F18" w:rsidRPr="00875DFE" w:rsidRDefault="00F83F18" w:rsidP="00F83F18">
            <w:pPr>
              <w:jc w:val="both"/>
              <w:rPr>
                <w:rFonts w:eastAsia="Arial Unicode MS"/>
                <w:color w:val="000000"/>
                <w:sz w:val="20"/>
                <w:szCs w:val="20"/>
              </w:rPr>
            </w:pPr>
            <w:r w:rsidRPr="00875DFE">
              <w:rPr>
                <w:rFonts w:eastAsia="Arial Unicode MS"/>
                <w:color w:val="000000"/>
                <w:sz w:val="20"/>
                <w:szCs w:val="20"/>
              </w:rPr>
              <w:t>- наличие сертификата соответствия санитарным нормам;</w:t>
            </w:r>
          </w:p>
          <w:p w:rsidR="00F83F18" w:rsidRPr="00875DFE" w:rsidRDefault="00F83F18" w:rsidP="00F83F18">
            <w:pPr>
              <w:jc w:val="both"/>
              <w:rPr>
                <w:rFonts w:eastAsia="Arial Unicode MS"/>
                <w:color w:val="000000"/>
                <w:sz w:val="20"/>
                <w:szCs w:val="20"/>
              </w:rPr>
            </w:pPr>
            <w:r w:rsidRPr="00875DFE">
              <w:rPr>
                <w:rFonts w:eastAsia="Arial Unicode MS"/>
                <w:color w:val="000000"/>
                <w:sz w:val="20"/>
                <w:szCs w:val="20"/>
              </w:rPr>
              <w:t xml:space="preserve">- наличие сертификата соответствия </w:t>
            </w:r>
            <w:proofErr w:type="spellStart"/>
            <w:r w:rsidRPr="00875DFE">
              <w:rPr>
                <w:rFonts w:eastAsia="Arial Unicode MS"/>
                <w:color w:val="000000"/>
                <w:sz w:val="20"/>
                <w:szCs w:val="20"/>
              </w:rPr>
              <w:t>ГОСТам</w:t>
            </w:r>
            <w:proofErr w:type="spellEnd"/>
            <w:r w:rsidRPr="00875DFE">
              <w:rPr>
                <w:rFonts w:eastAsia="Arial Unicode MS"/>
                <w:color w:val="000000"/>
                <w:sz w:val="20"/>
                <w:szCs w:val="20"/>
              </w:rPr>
              <w:t xml:space="preserve">; </w:t>
            </w:r>
          </w:p>
          <w:p w:rsidR="00F83F18" w:rsidRPr="00875DFE" w:rsidRDefault="00F83F18" w:rsidP="00F83F18">
            <w:pPr>
              <w:jc w:val="both"/>
              <w:rPr>
                <w:rFonts w:eastAsia="Arial Unicode MS"/>
                <w:color w:val="000000"/>
                <w:sz w:val="20"/>
                <w:szCs w:val="20"/>
              </w:rPr>
            </w:pPr>
            <w:r w:rsidRPr="00875DFE">
              <w:rPr>
                <w:rFonts w:eastAsia="Arial Unicode MS"/>
                <w:color w:val="000000"/>
                <w:sz w:val="20"/>
                <w:szCs w:val="20"/>
              </w:rPr>
              <w:t>- технические данные и паспорта;</w:t>
            </w:r>
          </w:p>
          <w:p w:rsidR="00F83F18" w:rsidRPr="00606448" w:rsidRDefault="00F83F18" w:rsidP="00F83F18">
            <w:pPr>
              <w:jc w:val="both"/>
            </w:pPr>
            <w:r w:rsidRPr="00875DFE">
              <w:rPr>
                <w:rFonts w:eastAsia="Arial Unicode MS"/>
                <w:color w:val="000000"/>
                <w:sz w:val="20"/>
                <w:szCs w:val="20"/>
              </w:rPr>
              <w:t xml:space="preserve">- иметь гарантию </w:t>
            </w:r>
            <w:r>
              <w:rPr>
                <w:rFonts w:eastAsia="Arial Unicode MS"/>
                <w:color w:val="000000"/>
                <w:sz w:val="20"/>
                <w:szCs w:val="20"/>
              </w:rPr>
              <w:t>поставщика</w:t>
            </w:r>
            <w:r w:rsidRPr="00BB7069">
              <w:rPr>
                <w:color w:val="000000"/>
              </w:rPr>
              <w:t xml:space="preserve"> </w:t>
            </w:r>
            <w:r>
              <w:rPr>
                <w:color w:val="000000"/>
              </w:rPr>
              <w:t>не менее 24 месяцев</w:t>
            </w:r>
          </w:p>
          <w:p w:rsidR="00F83F18" w:rsidRDefault="00F83F18">
            <w:pPr>
              <w:jc w:val="center"/>
              <w:rPr>
                <w:b/>
                <w:bCs/>
                <w:sz w:val="20"/>
                <w:szCs w:val="20"/>
              </w:rPr>
            </w:pPr>
          </w:p>
        </w:tc>
      </w:tr>
      <w:tr w:rsidR="00172495" w:rsidTr="00172495">
        <w:tc>
          <w:tcPr>
            <w:tcW w:w="2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95" w:rsidRPr="00747936" w:rsidRDefault="00172495">
            <w:r w:rsidRPr="00747936">
              <w:t>Мобильная система перемещения инвалида-колясочника</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172495" w:rsidRPr="00747936" w:rsidRDefault="00172495">
            <w:r w:rsidRPr="00747936">
              <w:t>Мобильная система должна состоять из гусеничного подъёмника и беспроводной системы вызова помощника.</w:t>
            </w:r>
          </w:p>
          <w:p w:rsidR="00172495" w:rsidRPr="00747936" w:rsidRDefault="00172495">
            <w:r w:rsidRPr="00747936">
              <w:t xml:space="preserve">Подъёмник должен состоять из платформы и управляющей рукоятки. </w:t>
            </w:r>
          </w:p>
          <w:p w:rsidR="00172495" w:rsidRPr="00747936" w:rsidRDefault="00172495">
            <w:r w:rsidRPr="00747936">
              <w:t xml:space="preserve"> На управляющей рукоятке должны присутствовать следующие органы управления: </w:t>
            </w:r>
          </w:p>
          <w:p w:rsidR="00172495" w:rsidRPr="00747936" w:rsidRDefault="00172495" w:rsidP="002503FC">
            <w:pPr>
              <w:pStyle w:val="a3"/>
              <w:numPr>
                <w:ilvl w:val="0"/>
                <w:numId w:val="1"/>
              </w:numPr>
              <w:spacing w:after="0"/>
              <w:ind w:left="459" w:hanging="142"/>
              <w:rPr>
                <w:rFonts w:ascii="Times New Roman" w:hAnsi="Times New Roman"/>
              </w:rPr>
            </w:pPr>
            <w:r w:rsidRPr="00747936">
              <w:rPr>
                <w:rFonts w:ascii="Times New Roman" w:hAnsi="Times New Roman"/>
              </w:rPr>
              <w:t xml:space="preserve">кнопка, с помощью которой осуществляется перемещение устройства вперед и назад; </w:t>
            </w:r>
          </w:p>
          <w:p w:rsidR="00172495" w:rsidRPr="00747936" w:rsidRDefault="00172495" w:rsidP="002503FC">
            <w:pPr>
              <w:pStyle w:val="a3"/>
              <w:numPr>
                <w:ilvl w:val="0"/>
                <w:numId w:val="1"/>
              </w:numPr>
              <w:spacing w:after="0"/>
              <w:ind w:left="459" w:hanging="142"/>
              <w:rPr>
                <w:rFonts w:ascii="Times New Roman" w:hAnsi="Times New Roman"/>
              </w:rPr>
            </w:pPr>
            <w:r w:rsidRPr="00747936">
              <w:rPr>
                <w:rFonts w:ascii="Times New Roman" w:hAnsi="Times New Roman"/>
              </w:rPr>
              <w:t xml:space="preserve">аварийная кнопка, блокирующая устройство; </w:t>
            </w:r>
          </w:p>
          <w:p w:rsidR="00172495" w:rsidRPr="00747936" w:rsidRDefault="00172495" w:rsidP="002503FC">
            <w:pPr>
              <w:pStyle w:val="a3"/>
              <w:numPr>
                <w:ilvl w:val="0"/>
                <w:numId w:val="1"/>
              </w:numPr>
              <w:spacing w:after="0"/>
              <w:ind w:left="459" w:hanging="142"/>
              <w:rPr>
                <w:rFonts w:ascii="Times New Roman" w:hAnsi="Times New Roman"/>
              </w:rPr>
            </w:pPr>
            <w:r w:rsidRPr="00747936">
              <w:rPr>
                <w:rFonts w:ascii="Times New Roman" w:hAnsi="Times New Roman"/>
              </w:rPr>
              <w:t xml:space="preserve">кнопка с </w:t>
            </w:r>
            <w:r w:rsidR="00552BAD" w:rsidRPr="00747936">
              <w:rPr>
                <w:rFonts w:ascii="Times New Roman" w:hAnsi="Times New Roman"/>
              </w:rPr>
              <w:t>помощью,</w:t>
            </w:r>
            <w:r w:rsidRPr="00747936">
              <w:rPr>
                <w:rFonts w:ascii="Times New Roman" w:hAnsi="Times New Roman"/>
              </w:rPr>
              <w:t xml:space="preserve"> которой осуществляется выбор направления движения устройства.</w:t>
            </w:r>
          </w:p>
          <w:p w:rsidR="00172495" w:rsidRPr="00747936" w:rsidRDefault="00172495">
            <w:r w:rsidRPr="00747936">
              <w:t xml:space="preserve">Рукоятка управления должна быть оснащена: </w:t>
            </w:r>
          </w:p>
          <w:p w:rsidR="00172495" w:rsidRPr="00747936" w:rsidRDefault="00172495" w:rsidP="002503FC">
            <w:pPr>
              <w:pStyle w:val="a3"/>
              <w:numPr>
                <w:ilvl w:val="0"/>
                <w:numId w:val="1"/>
              </w:numPr>
              <w:spacing w:after="0"/>
              <w:ind w:left="459" w:hanging="142"/>
              <w:rPr>
                <w:rFonts w:ascii="Times New Roman" w:hAnsi="Times New Roman"/>
              </w:rPr>
            </w:pPr>
            <w:r w:rsidRPr="00747936">
              <w:rPr>
                <w:rFonts w:ascii="Times New Roman" w:hAnsi="Times New Roman"/>
              </w:rPr>
              <w:t xml:space="preserve">регулируемым по высоте подголовником; </w:t>
            </w:r>
          </w:p>
          <w:p w:rsidR="00172495" w:rsidRPr="00747936" w:rsidRDefault="00172495" w:rsidP="002503FC">
            <w:pPr>
              <w:pStyle w:val="a3"/>
              <w:numPr>
                <w:ilvl w:val="0"/>
                <w:numId w:val="1"/>
              </w:numPr>
              <w:spacing w:after="0"/>
              <w:ind w:left="459" w:hanging="142"/>
              <w:rPr>
                <w:rFonts w:ascii="Times New Roman" w:hAnsi="Times New Roman"/>
              </w:rPr>
            </w:pPr>
            <w:r w:rsidRPr="00747936">
              <w:rPr>
                <w:rFonts w:ascii="Times New Roman" w:hAnsi="Times New Roman"/>
              </w:rPr>
              <w:t xml:space="preserve">перекладиной. Перекладина должна иметь возможность перемещения вверх и вниз по рукоятке управления (должна иметь не менее 15 положений, устанавливаемых с помощью фиксирующих головок, расположенных с левой и правой стороны). Перекладина должна иметь изменяемую ширину, регулируемую с помощью выдвижных держателей, которые должны фиксировать спинку инвалидной коляски с помощью подвижного элемента с зажимом (по типу струбцины). Минимальное расстояние между держателями не должно быть менее 365 мм и более 400 мм, максимальное расстояние между держателями должно быть не менее 580 </w:t>
            </w:r>
            <w:r w:rsidRPr="00747936">
              <w:rPr>
                <w:rFonts w:ascii="Times New Roman" w:hAnsi="Times New Roman"/>
              </w:rPr>
              <w:lastRenderedPageBreak/>
              <w:t>мм и менее 595 мм;</w:t>
            </w:r>
          </w:p>
          <w:p w:rsidR="00172495" w:rsidRPr="00747936" w:rsidRDefault="00172495" w:rsidP="002503FC">
            <w:pPr>
              <w:pStyle w:val="a3"/>
              <w:numPr>
                <w:ilvl w:val="0"/>
                <w:numId w:val="1"/>
              </w:numPr>
              <w:spacing w:after="0"/>
              <w:ind w:left="459" w:hanging="142"/>
              <w:rPr>
                <w:rFonts w:ascii="Times New Roman" w:hAnsi="Times New Roman"/>
              </w:rPr>
            </w:pPr>
            <w:r w:rsidRPr="00747936">
              <w:rPr>
                <w:rFonts w:ascii="Times New Roman" w:hAnsi="Times New Roman"/>
              </w:rPr>
              <w:t>ремнем для фиксации тела человека;</w:t>
            </w:r>
          </w:p>
          <w:p w:rsidR="00172495" w:rsidRPr="00747936" w:rsidRDefault="00172495" w:rsidP="002503FC">
            <w:pPr>
              <w:pStyle w:val="a3"/>
              <w:numPr>
                <w:ilvl w:val="0"/>
                <w:numId w:val="1"/>
              </w:numPr>
              <w:spacing w:after="0"/>
              <w:ind w:left="459" w:hanging="142"/>
              <w:rPr>
                <w:rFonts w:ascii="Times New Roman" w:hAnsi="Times New Roman"/>
              </w:rPr>
            </w:pPr>
            <w:r w:rsidRPr="00747936">
              <w:rPr>
                <w:rFonts w:ascii="Times New Roman" w:hAnsi="Times New Roman"/>
              </w:rPr>
              <w:t xml:space="preserve">в нижней части рукоятки управления должны располагаться упоры, для инвалидной коляски; </w:t>
            </w:r>
          </w:p>
          <w:p w:rsidR="00172495" w:rsidRPr="00747936" w:rsidRDefault="00172495" w:rsidP="002503FC">
            <w:pPr>
              <w:pStyle w:val="a3"/>
              <w:numPr>
                <w:ilvl w:val="0"/>
                <w:numId w:val="1"/>
              </w:numPr>
              <w:spacing w:after="0"/>
              <w:ind w:left="459" w:hanging="142"/>
              <w:rPr>
                <w:rFonts w:ascii="Times New Roman" w:hAnsi="Times New Roman"/>
              </w:rPr>
            </w:pPr>
            <w:r w:rsidRPr="00747936">
              <w:rPr>
                <w:rFonts w:ascii="Times New Roman" w:hAnsi="Times New Roman"/>
              </w:rPr>
              <w:t>для удобства управления устройством рукоятка должна иметь прорезиненные ручки.</w:t>
            </w:r>
          </w:p>
          <w:p w:rsidR="00172495" w:rsidRPr="00747936" w:rsidRDefault="00172495">
            <w:r w:rsidRPr="00747936">
              <w:t>Управляющая рукоятка должна подключаться к платформе без использования проводов.</w:t>
            </w:r>
          </w:p>
          <w:p w:rsidR="00172495" w:rsidRPr="00747936" w:rsidRDefault="00172495">
            <w:r w:rsidRPr="00747936">
              <w:t xml:space="preserve">      Платформа должна быть оснащена: </w:t>
            </w:r>
          </w:p>
          <w:p w:rsidR="00172495" w:rsidRPr="00747936" w:rsidRDefault="00172495" w:rsidP="002503FC">
            <w:pPr>
              <w:pStyle w:val="a3"/>
              <w:numPr>
                <w:ilvl w:val="0"/>
                <w:numId w:val="1"/>
              </w:numPr>
              <w:spacing w:after="0"/>
              <w:ind w:left="459" w:hanging="142"/>
              <w:rPr>
                <w:rFonts w:ascii="Times New Roman" w:hAnsi="Times New Roman"/>
              </w:rPr>
            </w:pPr>
            <w:r w:rsidRPr="00747936">
              <w:rPr>
                <w:rFonts w:ascii="Times New Roman" w:hAnsi="Times New Roman"/>
              </w:rPr>
              <w:t xml:space="preserve">не менее чем двумя гусеничными лентами, позволяющими передвигаться по ступеням; </w:t>
            </w:r>
          </w:p>
          <w:p w:rsidR="00172495" w:rsidRPr="00747936" w:rsidRDefault="00172495" w:rsidP="002503FC">
            <w:pPr>
              <w:pStyle w:val="a3"/>
              <w:numPr>
                <w:ilvl w:val="0"/>
                <w:numId w:val="1"/>
              </w:numPr>
              <w:spacing w:after="0"/>
              <w:ind w:left="459" w:hanging="142"/>
              <w:rPr>
                <w:rFonts w:ascii="Times New Roman" w:hAnsi="Times New Roman"/>
              </w:rPr>
            </w:pPr>
            <w:r w:rsidRPr="00747936">
              <w:rPr>
                <w:rFonts w:ascii="Times New Roman" w:hAnsi="Times New Roman"/>
              </w:rPr>
              <w:t xml:space="preserve">колесной системой. Колесная система должна состоять </w:t>
            </w:r>
            <w:proofErr w:type="gramStart"/>
            <w:r w:rsidRPr="00747936">
              <w:rPr>
                <w:rFonts w:ascii="Times New Roman" w:hAnsi="Times New Roman"/>
              </w:rPr>
              <w:t>из</w:t>
            </w:r>
            <w:proofErr w:type="gramEnd"/>
            <w:r w:rsidRPr="00747936">
              <w:rPr>
                <w:rFonts w:ascii="Times New Roman" w:hAnsi="Times New Roman"/>
              </w:rPr>
              <w:t xml:space="preserve"> не менее </w:t>
            </w:r>
            <w:proofErr w:type="gramStart"/>
            <w:r w:rsidRPr="00747936">
              <w:rPr>
                <w:rFonts w:ascii="Times New Roman" w:hAnsi="Times New Roman"/>
              </w:rPr>
              <w:t>чем</w:t>
            </w:r>
            <w:proofErr w:type="gramEnd"/>
            <w:r w:rsidRPr="00747936">
              <w:rPr>
                <w:rFonts w:ascii="Times New Roman" w:hAnsi="Times New Roman"/>
              </w:rPr>
              <w:t xml:space="preserve"> четырех колес, располагающихся по бокам платформы (по не менее чем два колеса с каждой стороны платформы)</w:t>
            </w:r>
          </w:p>
          <w:p w:rsidR="00172495" w:rsidRPr="00747936" w:rsidRDefault="00172495" w:rsidP="002503FC">
            <w:pPr>
              <w:pStyle w:val="a3"/>
              <w:numPr>
                <w:ilvl w:val="0"/>
                <w:numId w:val="1"/>
              </w:numPr>
              <w:spacing w:after="0"/>
              <w:ind w:left="459" w:hanging="142"/>
              <w:rPr>
                <w:rFonts w:ascii="Times New Roman" w:hAnsi="Times New Roman"/>
              </w:rPr>
            </w:pPr>
            <w:r w:rsidRPr="00747936">
              <w:rPr>
                <w:rFonts w:ascii="Times New Roman" w:hAnsi="Times New Roman"/>
              </w:rPr>
              <w:t xml:space="preserve">кнопкой, с помощью которой осуществляется перемещение устройства вперед и назад; </w:t>
            </w:r>
          </w:p>
          <w:p w:rsidR="00172495" w:rsidRPr="00747936" w:rsidRDefault="00172495" w:rsidP="002503FC">
            <w:pPr>
              <w:pStyle w:val="a3"/>
              <w:numPr>
                <w:ilvl w:val="0"/>
                <w:numId w:val="1"/>
              </w:numPr>
              <w:spacing w:after="0"/>
              <w:ind w:left="459" w:hanging="142"/>
              <w:rPr>
                <w:rFonts w:ascii="Times New Roman" w:hAnsi="Times New Roman"/>
              </w:rPr>
            </w:pPr>
            <w:r w:rsidRPr="00747936">
              <w:rPr>
                <w:rFonts w:ascii="Times New Roman" w:hAnsi="Times New Roman"/>
              </w:rPr>
              <w:t xml:space="preserve">кнопкой с </w:t>
            </w:r>
            <w:proofErr w:type="gramStart"/>
            <w:r w:rsidRPr="00747936">
              <w:rPr>
                <w:rFonts w:ascii="Times New Roman" w:hAnsi="Times New Roman"/>
              </w:rPr>
              <w:t>помощью</w:t>
            </w:r>
            <w:proofErr w:type="gramEnd"/>
            <w:r w:rsidRPr="00747936">
              <w:rPr>
                <w:rFonts w:ascii="Times New Roman" w:hAnsi="Times New Roman"/>
              </w:rPr>
              <w:t xml:space="preserve"> которой осуществляется выбор направления движения устройства.</w:t>
            </w:r>
          </w:p>
          <w:p w:rsidR="00172495" w:rsidRPr="00747936" w:rsidRDefault="00172495" w:rsidP="002503FC">
            <w:pPr>
              <w:pStyle w:val="a3"/>
              <w:numPr>
                <w:ilvl w:val="0"/>
                <w:numId w:val="1"/>
              </w:numPr>
              <w:spacing w:after="0"/>
              <w:ind w:left="459" w:hanging="142"/>
              <w:rPr>
                <w:rFonts w:ascii="Times New Roman" w:hAnsi="Times New Roman"/>
              </w:rPr>
            </w:pPr>
            <w:r w:rsidRPr="00747936">
              <w:rPr>
                <w:rFonts w:ascii="Times New Roman" w:hAnsi="Times New Roman"/>
              </w:rPr>
              <w:t>разъемом для подключения блока питания;</w:t>
            </w:r>
          </w:p>
          <w:p w:rsidR="00172495" w:rsidRPr="00747936" w:rsidRDefault="00172495" w:rsidP="002503FC">
            <w:pPr>
              <w:pStyle w:val="a3"/>
              <w:numPr>
                <w:ilvl w:val="0"/>
                <w:numId w:val="1"/>
              </w:numPr>
              <w:spacing w:after="0"/>
              <w:ind w:left="459" w:hanging="142"/>
              <w:rPr>
                <w:rFonts w:ascii="Times New Roman" w:hAnsi="Times New Roman"/>
              </w:rPr>
            </w:pPr>
            <w:r w:rsidRPr="00747936">
              <w:rPr>
                <w:rFonts w:ascii="Times New Roman" w:hAnsi="Times New Roman"/>
              </w:rPr>
              <w:t>разъемом для установки ключа, приводящего устройство в режим готовности;</w:t>
            </w:r>
          </w:p>
          <w:p w:rsidR="00172495" w:rsidRPr="00747936" w:rsidRDefault="00172495" w:rsidP="002503FC">
            <w:pPr>
              <w:pStyle w:val="a3"/>
              <w:numPr>
                <w:ilvl w:val="0"/>
                <w:numId w:val="1"/>
              </w:numPr>
              <w:spacing w:after="0"/>
              <w:ind w:left="459" w:hanging="142"/>
              <w:rPr>
                <w:rFonts w:ascii="Times New Roman" w:hAnsi="Times New Roman"/>
              </w:rPr>
            </w:pPr>
            <w:r w:rsidRPr="00747936">
              <w:rPr>
                <w:rFonts w:ascii="Times New Roman" w:hAnsi="Times New Roman"/>
              </w:rPr>
              <w:t>не менее чем трехпозиционным переключателем скоростей;</w:t>
            </w:r>
          </w:p>
          <w:p w:rsidR="00172495" w:rsidRPr="00747936" w:rsidRDefault="00172495">
            <w:r w:rsidRPr="00747936">
              <w:t xml:space="preserve">Устройство должно иметь не менее трех скоростей движения: 1 скорость не должна быть более 5 м/мин и менее 4,5 м/мин; 2 скорость не должна быть более 6 м/мин и менее 5,5 м/мин; 3 скорость не должна быть более 7 м/мин и менее 6,5 м/мин. Во избежание попадания посторонних деталей, движущиеся части, за исключением гусеничных лент и боковых колес, должны быть закрыты. Длина платформы должна быть не более 990 мм и более 900 мм, высота передней части платформы не должна быть более 150 мм и меньше 135 мм, высота задней части платформы не должна быть более 328 мм. Устройство должно иметь функцию автоматической блокировки в случае разрыва питания или аварии. Максимальный преодолимый угол подъема – не менее 35°. Запас хода с полностью заряженной аккумуляторной батареей – не менее 50 этажей. Устройство должно иметь электронный датчик наклона, с помощью которого блокируется передвижение устройства вверх, в случае если угол подъема больше максимально преодолимого. Наличие световой и </w:t>
            </w:r>
            <w:r w:rsidRPr="00C3170D">
              <w:t xml:space="preserve">звуковой индикации при превышении угла подъема/спуска. Устройство должно иметь электронную защиту от перегрузки. </w:t>
            </w:r>
            <w:r w:rsidR="00111062" w:rsidRPr="00C3170D">
              <w:t>Устройство должно быть оснащено системой безопасности, которая в случае непредвиденной поломки (технический дефект, проблема с электропитанием, отказ устройства и т.п.) позволит оператору вручную</w:t>
            </w:r>
            <w:r w:rsidR="00007346" w:rsidRPr="00C3170D">
              <w:t xml:space="preserve"> разблокировать электромагнитный тормоз</w:t>
            </w:r>
            <w:r w:rsidR="00111062" w:rsidRPr="00C3170D">
              <w:t xml:space="preserve"> </w:t>
            </w:r>
            <w:r w:rsidR="00007346" w:rsidRPr="00C3170D">
              <w:t xml:space="preserve">и </w:t>
            </w:r>
            <w:r w:rsidR="00111062" w:rsidRPr="00C3170D">
              <w:t>спустить подъемник на лестничную площадку. Кабель активации системы безопасности должен располагаться с левой стороны основного блока подъемника</w:t>
            </w:r>
            <w:r w:rsidR="00007346" w:rsidRPr="00C3170D">
              <w:t>.</w:t>
            </w:r>
            <w:r w:rsidR="00C3170D">
              <w:t xml:space="preserve"> </w:t>
            </w:r>
            <w:r w:rsidRPr="00C3170D">
              <w:t>Устройство должно иметь</w:t>
            </w:r>
            <w:r w:rsidRPr="00747936">
              <w:t xml:space="preserve"> интегрированную систему диагностики, позволяющую осуществлять </w:t>
            </w:r>
            <w:bookmarkStart w:id="0" w:name="_GoBack"/>
            <w:bookmarkEnd w:id="0"/>
            <w:r w:rsidRPr="00747936">
              <w:t xml:space="preserve">контроль состояния </w:t>
            </w:r>
            <w:r w:rsidRPr="00747936">
              <w:lastRenderedPageBreak/>
              <w:t xml:space="preserve">устройства с помощью компьютера. </w:t>
            </w:r>
          </w:p>
          <w:p w:rsidR="00172495" w:rsidRPr="00747936" w:rsidRDefault="00172495">
            <w:pPr>
              <w:jc w:val="both"/>
            </w:pPr>
            <w:r w:rsidRPr="00747936">
              <w:t>В комплект должно входить зарядное устройство для зарядки аккумуляторных батарей. Устройство должно позволять осуществлять транспортировку людей массой (включая вес инвалидной коляски) не превышающей 130 кг. Максимальная длина устройства (с установленной управляющей рукояткой) не должна превышать 1390 мм. Вес устройства в сборе – не более 39 кг.</w:t>
            </w:r>
          </w:p>
          <w:p w:rsidR="00172495" w:rsidRPr="00747936" w:rsidRDefault="00172495" w:rsidP="00747936"/>
        </w:tc>
      </w:tr>
    </w:tbl>
    <w:p w:rsidR="00AF2C33" w:rsidRDefault="00505E99"/>
    <w:sectPr w:rsidR="00AF2C33" w:rsidSect="00172495">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E99" w:rsidRDefault="00505E99" w:rsidP="00690F2D">
      <w:r>
        <w:separator/>
      </w:r>
    </w:p>
  </w:endnote>
  <w:endnote w:type="continuationSeparator" w:id="0">
    <w:p w:rsidR="00505E99" w:rsidRDefault="00505E99" w:rsidP="00690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2D" w:rsidRDefault="00690F2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2D" w:rsidRDefault="00690F2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2D" w:rsidRDefault="00690F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E99" w:rsidRDefault="00505E99" w:rsidP="00690F2D">
      <w:r>
        <w:separator/>
      </w:r>
    </w:p>
  </w:footnote>
  <w:footnote w:type="continuationSeparator" w:id="0">
    <w:p w:rsidR="00505E99" w:rsidRDefault="00505E99" w:rsidP="00690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2D" w:rsidRDefault="00690F2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2D" w:rsidRDefault="00690F2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2D" w:rsidRDefault="00690F2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67DCA"/>
    <w:multiLevelType w:val="hybridMultilevel"/>
    <w:tmpl w:val="22940F5E"/>
    <w:lvl w:ilvl="0" w:tplc="4A74D7D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A77A6D"/>
    <w:rsid w:val="00007346"/>
    <w:rsid w:val="00111062"/>
    <w:rsid w:val="00172495"/>
    <w:rsid w:val="00223DCD"/>
    <w:rsid w:val="00505E99"/>
    <w:rsid w:val="00522F52"/>
    <w:rsid w:val="00540251"/>
    <w:rsid w:val="00552BAD"/>
    <w:rsid w:val="00570CD7"/>
    <w:rsid w:val="00690F2D"/>
    <w:rsid w:val="00747936"/>
    <w:rsid w:val="00950BCE"/>
    <w:rsid w:val="00A77A6D"/>
    <w:rsid w:val="00C3170D"/>
    <w:rsid w:val="00E43CD4"/>
    <w:rsid w:val="00F83F18"/>
    <w:rsid w:val="00FB7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9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495"/>
    <w:pPr>
      <w:spacing w:after="200"/>
      <w:ind w:left="720"/>
    </w:pPr>
    <w:rPr>
      <w:rFonts w:ascii="Cambria" w:hAnsi="Cambria"/>
    </w:rPr>
  </w:style>
  <w:style w:type="paragraph" w:styleId="a4">
    <w:name w:val="header"/>
    <w:basedOn w:val="a"/>
    <w:link w:val="a5"/>
    <w:uiPriority w:val="99"/>
    <w:unhideWhenUsed/>
    <w:rsid w:val="00690F2D"/>
    <w:pPr>
      <w:tabs>
        <w:tab w:val="center" w:pos="4677"/>
        <w:tab w:val="right" w:pos="9355"/>
      </w:tabs>
    </w:pPr>
  </w:style>
  <w:style w:type="character" w:customStyle="1" w:styleId="a5">
    <w:name w:val="Верхний колонтитул Знак"/>
    <w:basedOn w:val="a0"/>
    <w:link w:val="a4"/>
    <w:uiPriority w:val="99"/>
    <w:rsid w:val="00690F2D"/>
    <w:rPr>
      <w:rFonts w:ascii="Times New Roman" w:hAnsi="Times New Roman" w:cs="Times New Roman"/>
      <w:sz w:val="24"/>
      <w:szCs w:val="24"/>
      <w:lang w:eastAsia="ru-RU"/>
    </w:rPr>
  </w:style>
  <w:style w:type="paragraph" w:styleId="a6">
    <w:name w:val="footer"/>
    <w:basedOn w:val="a"/>
    <w:link w:val="a7"/>
    <w:uiPriority w:val="99"/>
    <w:unhideWhenUsed/>
    <w:rsid w:val="00690F2D"/>
    <w:pPr>
      <w:tabs>
        <w:tab w:val="center" w:pos="4677"/>
        <w:tab w:val="right" w:pos="9355"/>
      </w:tabs>
    </w:pPr>
  </w:style>
  <w:style w:type="character" w:customStyle="1" w:styleId="a7">
    <w:name w:val="Нижний колонтитул Знак"/>
    <w:basedOn w:val="a0"/>
    <w:link w:val="a6"/>
    <w:uiPriority w:val="99"/>
    <w:rsid w:val="00690F2D"/>
    <w:rPr>
      <w:rFonts w:ascii="Times New Roman" w:hAnsi="Times New Roman" w:cs="Times New Roman"/>
      <w:sz w:val="24"/>
      <w:szCs w:val="24"/>
      <w:lang w:eastAsia="ru-RU"/>
    </w:rPr>
  </w:style>
  <w:style w:type="character" w:customStyle="1" w:styleId="2">
    <w:name w:val="Основной текст (2)_"/>
    <w:link w:val="20"/>
    <w:locked/>
    <w:rsid w:val="00F83F18"/>
    <w:rPr>
      <w:sz w:val="23"/>
      <w:szCs w:val="23"/>
      <w:shd w:val="clear" w:color="auto" w:fill="FFFFFF"/>
    </w:rPr>
  </w:style>
  <w:style w:type="paragraph" w:customStyle="1" w:styleId="20">
    <w:name w:val="Основной текст (2)"/>
    <w:basedOn w:val="a"/>
    <w:link w:val="2"/>
    <w:rsid w:val="00F83F18"/>
    <w:pPr>
      <w:shd w:val="clear" w:color="auto" w:fill="FFFFFF"/>
      <w:spacing w:after="300" w:line="240" w:lineRule="atLeast"/>
    </w:pPr>
    <w:rPr>
      <w:rFonts w:asciiTheme="minorHAns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9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495"/>
    <w:pPr>
      <w:spacing w:after="200"/>
      <w:ind w:left="720"/>
    </w:pPr>
    <w:rPr>
      <w:rFonts w:ascii="Cambria" w:hAnsi="Cambria"/>
    </w:rPr>
  </w:style>
  <w:style w:type="paragraph" w:styleId="a4">
    <w:name w:val="header"/>
    <w:basedOn w:val="a"/>
    <w:link w:val="a5"/>
    <w:uiPriority w:val="99"/>
    <w:unhideWhenUsed/>
    <w:rsid w:val="00690F2D"/>
    <w:pPr>
      <w:tabs>
        <w:tab w:val="center" w:pos="4677"/>
        <w:tab w:val="right" w:pos="9355"/>
      </w:tabs>
    </w:pPr>
  </w:style>
  <w:style w:type="character" w:customStyle="1" w:styleId="a5">
    <w:name w:val="Верхний колонтитул Знак"/>
    <w:basedOn w:val="a0"/>
    <w:link w:val="a4"/>
    <w:uiPriority w:val="99"/>
    <w:rsid w:val="00690F2D"/>
    <w:rPr>
      <w:rFonts w:ascii="Times New Roman" w:hAnsi="Times New Roman" w:cs="Times New Roman"/>
      <w:sz w:val="24"/>
      <w:szCs w:val="24"/>
      <w:lang w:eastAsia="ru-RU"/>
    </w:rPr>
  </w:style>
  <w:style w:type="paragraph" w:styleId="a6">
    <w:name w:val="footer"/>
    <w:basedOn w:val="a"/>
    <w:link w:val="a7"/>
    <w:uiPriority w:val="99"/>
    <w:unhideWhenUsed/>
    <w:rsid w:val="00690F2D"/>
    <w:pPr>
      <w:tabs>
        <w:tab w:val="center" w:pos="4677"/>
        <w:tab w:val="right" w:pos="9355"/>
      </w:tabs>
    </w:pPr>
  </w:style>
  <w:style w:type="character" w:customStyle="1" w:styleId="a7">
    <w:name w:val="Нижний колонтитул Знак"/>
    <w:basedOn w:val="a0"/>
    <w:link w:val="a6"/>
    <w:uiPriority w:val="99"/>
    <w:rsid w:val="00690F2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988004">
      <w:bodyDiv w:val="1"/>
      <w:marLeft w:val="0"/>
      <w:marRight w:val="0"/>
      <w:marTop w:val="0"/>
      <w:marBottom w:val="0"/>
      <w:divBdr>
        <w:top w:val="none" w:sz="0" w:space="0" w:color="auto"/>
        <w:left w:val="none" w:sz="0" w:space="0" w:color="auto"/>
        <w:bottom w:val="none" w:sz="0" w:space="0" w:color="auto"/>
        <w:right w:val="none" w:sz="0" w:space="0" w:color="auto"/>
      </w:divBdr>
    </w:div>
    <w:div w:id="108947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2016-03-16T07:19:00Z</dcterms:created>
  <dcterms:modified xsi:type="dcterms:W3CDTF">2016-03-16T07:19:00Z</dcterms:modified>
</cp:coreProperties>
</file>